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rPr>
          <w:rFonts w:asciiTheme="minorEastAsia" w:hAnsiTheme="minorEastAsia" w:eastAsiaTheme="minorEastAsia"/>
          <w:sz w:val="52"/>
          <w:szCs w:val="52"/>
        </w:rPr>
      </w:pPr>
      <w:bookmarkStart w:id="0" w:name="_Toc73105110"/>
      <w:bookmarkStart w:id="1" w:name="_Toc107245748"/>
      <w:r>
        <w:rPr>
          <w:rFonts w:hint="eastAsia" w:asciiTheme="minorEastAsia" w:hAnsiTheme="minorEastAsia" w:eastAsiaTheme="minorEastAsia"/>
          <w:sz w:val="52"/>
          <w:szCs w:val="52"/>
          <w:lang w:eastAsia="zh-CN"/>
        </w:rPr>
        <w:t>滁州市惠企服务平台</w:t>
      </w:r>
    </w:p>
    <w:p>
      <w:pPr>
        <w:pStyle w:val="11"/>
        <w:rPr>
          <w:rFonts w:asciiTheme="minorEastAsia" w:hAnsiTheme="minorEastAsia" w:eastAsiaTheme="minorEastAsia"/>
          <w:sz w:val="44"/>
          <w:szCs w:val="44"/>
        </w:rPr>
      </w:pPr>
      <w:r>
        <w:rPr>
          <w:rFonts w:hint="eastAsia" w:asciiTheme="minorEastAsia" w:hAnsiTheme="minorEastAsia" w:eastAsiaTheme="minorEastAsia"/>
          <w:sz w:val="44"/>
          <w:szCs w:val="44"/>
        </w:rPr>
        <w:t>使用手册</w:t>
      </w:r>
    </w:p>
    <w:p>
      <w:pPr>
        <w:pStyle w:val="3"/>
        <w:numPr>
          <w:numId w:val="0"/>
        </w:numPr>
        <w:spacing w:before="163" w:after="163"/>
        <w:ind w:left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编写目的</w:t>
      </w:r>
      <w:bookmarkEnd w:id="0"/>
      <w:bookmarkEnd w:id="1"/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本文档主</w:t>
      </w:r>
      <w:bookmarkStart w:id="15" w:name="_GoBack"/>
      <w:bookmarkEnd w:id="15"/>
      <w:r>
        <w:rPr>
          <w:rFonts w:hint="eastAsia" w:ascii="仿宋" w:hAnsi="仿宋" w:eastAsia="仿宋" w:cs="仿宋"/>
          <w:sz w:val="28"/>
          <w:szCs w:val="28"/>
        </w:rPr>
        <w:t>要针对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滁州市惠企服务平台</w:t>
      </w:r>
      <w:r>
        <w:rPr>
          <w:rFonts w:hint="eastAsia" w:ascii="仿宋" w:hAnsi="仿宋" w:eastAsia="仿宋" w:cs="仿宋"/>
          <w:sz w:val="28"/>
          <w:szCs w:val="28"/>
        </w:rPr>
        <w:t>相关功能进行详细说明。</w:t>
      </w:r>
    </w:p>
    <w:p>
      <w:pPr>
        <w:pStyle w:val="2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皖企通滁州分厅</w:t>
      </w:r>
    </w:p>
    <w:p>
      <w:pP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皖企通滁州分厅为企业法人提供全生命周期的惠企服务，实现惠企政策一站式查询及办理，包含“推荐服务”、“办业务”、“查政策”、“领补贴”、“融资金”、“投资安徽”等服务内容。</w:t>
      </w:r>
    </w:p>
    <w:p>
      <w:pP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其中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“查政策”和“领补贴”服务点击会跳转到滁州市惠企服务平台。</w:t>
      </w:r>
    </w:p>
    <w:p>
      <w:pPr>
        <w:spacing w:before="163" w:after="163"/>
        <w:ind w:firstLine="480"/>
        <w:rPr>
          <w:rFonts w:hint="eastAsia" w:ascii="仿宋" w:hAnsi="仿宋" w:eastAsia="仿宋" w:cs="仿宋"/>
          <w:i/>
          <w:iCs/>
          <w:sz w:val="28"/>
          <w:szCs w:val="28"/>
        </w:rPr>
      </w:pPr>
      <w:r>
        <w:rPr>
          <w:rFonts w:hint="eastAsia" w:ascii="仿宋" w:hAnsi="仿宋" w:eastAsia="仿宋" w:cs="仿宋"/>
          <w:i/>
          <w:iCs/>
          <w:sz w:val="28"/>
          <w:szCs w:val="28"/>
        </w:rPr>
        <w:drawing>
          <wp:inline distT="0" distB="0" distL="114300" distR="114300">
            <wp:extent cx="5260975" cy="2675890"/>
            <wp:effectExtent l="0" t="0" r="12065" b="6350"/>
            <wp:docPr id="1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  <w:rPr>
          <w:rFonts w:hint="eastAsia" w:ascii="仿宋" w:hAnsi="仿宋" w:eastAsia="仿宋" w:cs="仿宋"/>
          <w:i/>
          <w:iCs/>
          <w:sz w:val="28"/>
          <w:szCs w:val="28"/>
        </w:rPr>
      </w:pPr>
      <w:r>
        <w:rPr>
          <w:rFonts w:hint="eastAsia" w:ascii="仿宋" w:hAnsi="仿宋" w:eastAsia="仿宋" w:cs="仿宋"/>
          <w:i/>
          <w:iCs/>
          <w:sz w:val="28"/>
          <w:szCs w:val="28"/>
        </w:rPr>
        <w:drawing>
          <wp:inline distT="0" distB="0" distL="114300" distR="114300">
            <wp:extent cx="5273040" cy="2519680"/>
            <wp:effectExtent l="0" t="0" r="0" b="10160"/>
            <wp:docPr id="1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  <w:rPr>
          <w:rFonts w:hint="eastAsia" w:ascii="仿宋" w:hAnsi="仿宋" w:eastAsia="仿宋" w:cs="仿宋"/>
          <w:i/>
          <w:iCs/>
          <w:sz w:val="28"/>
          <w:szCs w:val="28"/>
        </w:rPr>
      </w:pPr>
      <w:r>
        <w:rPr>
          <w:rFonts w:hint="eastAsia" w:ascii="仿宋" w:hAnsi="仿宋" w:eastAsia="仿宋" w:cs="仿宋"/>
          <w:i/>
          <w:iCs/>
          <w:sz w:val="28"/>
          <w:szCs w:val="28"/>
        </w:rPr>
        <w:drawing>
          <wp:inline distT="0" distB="0" distL="114300" distR="114300">
            <wp:extent cx="5272405" cy="3719830"/>
            <wp:effectExtent l="0" t="0" r="635" b="13970"/>
            <wp:docPr id="1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i/>
          <w:iCs/>
          <w:sz w:val="28"/>
          <w:szCs w:val="28"/>
        </w:rPr>
        <w:drawing>
          <wp:inline distT="0" distB="0" distL="114300" distR="114300">
            <wp:extent cx="5270500" cy="3294380"/>
            <wp:effectExtent l="0" t="0" r="2540" b="12700"/>
            <wp:docPr id="1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rPr>
          <w:rFonts w:hint="eastAsia" w:ascii="仿宋" w:hAnsi="仿宋" w:eastAsia="仿宋" w:cs="仿宋"/>
          <w:sz w:val="28"/>
          <w:szCs w:val="28"/>
        </w:rPr>
      </w:pPr>
      <w:bookmarkStart w:id="2" w:name="_Toc107245749"/>
      <w:r>
        <w:rPr>
          <w:rFonts w:hint="eastAsia" w:ascii="仿宋" w:hAnsi="仿宋" w:eastAsia="仿宋" w:cs="仿宋"/>
          <w:sz w:val="28"/>
          <w:szCs w:val="28"/>
        </w:rPr>
        <w:t>惠企服务</w:t>
      </w:r>
      <w:bookmarkEnd w:id="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平台</w:t>
      </w:r>
    </w:p>
    <w:p>
      <w:pPr>
        <w:spacing w:before="163" w:after="163" w:line="500" w:lineRule="exact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惠企服务平台门户</w:t>
      </w:r>
      <w:r>
        <w:rPr>
          <w:rFonts w:hint="eastAsia" w:ascii="仿宋" w:hAnsi="仿宋" w:eastAsia="仿宋" w:cs="仿宋"/>
          <w:sz w:val="28"/>
          <w:szCs w:val="28"/>
        </w:rPr>
        <w:t>有“首页”、“政策文件”、“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政策兑现</w:t>
      </w:r>
      <w:r>
        <w:rPr>
          <w:rFonts w:hint="eastAsia" w:ascii="仿宋" w:hAnsi="仿宋" w:eastAsia="仿宋" w:cs="仿宋"/>
          <w:sz w:val="28"/>
          <w:szCs w:val="28"/>
        </w:rPr>
        <w:t>”、“诉求直达”、“资讯动态”5大模块。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3402965"/>
            <wp:effectExtent l="0" t="0" r="6985" b="1079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63" w:after="163"/>
        <w:ind w:left="575" w:leftChars="0" w:hanging="575" w:firstLineChars="0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bookmarkStart w:id="3" w:name="_Toc107245750"/>
      <w:r>
        <w:rPr>
          <w:rFonts w:hint="eastAsia" w:ascii="仿宋" w:hAnsi="仿宋" w:eastAsia="仿宋" w:cs="仿宋"/>
          <w:sz w:val="28"/>
          <w:szCs w:val="28"/>
        </w:rPr>
        <w:t>首页</w:t>
      </w:r>
      <w:bookmarkEnd w:id="3"/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7960" cy="3159125"/>
            <wp:effectExtent l="0" t="0" r="5080" b="1079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3249930"/>
            <wp:effectExtent l="0" t="0" r="1270" b="1143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63" w:after="163"/>
        <w:ind w:left="575" w:leftChars="0" w:hanging="575" w:firstLineChars="0"/>
        <w:rPr>
          <w:rFonts w:hint="eastAsia" w:ascii="仿宋" w:hAnsi="仿宋" w:eastAsia="仿宋" w:cs="仿宋"/>
          <w:sz w:val="28"/>
          <w:szCs w:val="28"/>
        </w:rPr>
      </w:pPr>
      <w:bookmarkStart w:id="4" w:name="_Toc107245751"/>
      <w:r>
        <w:rPr>
          <w:rFonts w:hint="eastAsia" w:ascii="仿宋" w:hAnsi="仿宋" w:eastAsia="仿宋" w:cs="仿宋"/>
          <w:sz w:val="28"/>
          <w:szCs w:val="28"/>
        </w:rPr>
        <w:t>“政策文件”模块</w:t>
      </w:r>
      <w:bookmarkEnd w:id="4"/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主要对国家、省、市和县区级惠企政策文件进行发布展示，帮助企业在线看通知、查政策。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3248025"/>
            <wp:effectExtent l="0" t="0" r="1270" b="1333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63" w:after="163"/>
        <w:ind w:left="575" w:leftChars="0" w:hanging="575" w:firstLineChars="0"/>
        <w:rPr>
          <w:rFonts w:hint="eastAsia" w:ascii="仿宋" w:hAnsi="仿宋" w:eastAsia="仿宋" w:cs="仿宋"/>
          <w:sz w:val="28"/>
          <w:szCs w:val="28"/>
        </w:rPr>
      </w:pPr>
      <w:bookmarkStart w:id="5" w:name="_Toc107245752"/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政策兑现</w:t>
      </w:r>
      <w:r>
        <w:rPr>
          <w:rFonts w:hint="eastAsia" w:ascii="仿宋" w:hAnsi="仿宋" w:eastAsia="仿宋" w:cs="仿宋"/>
          <w:sz w:val="28"/>
          <w:szCs w:val="28"/>
        </w:rPr>
        <w:t>”模块</w:t>
      </w:r>
      <w:bookmarkEnd w:id="5"/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主要为企业提供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限时即享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”“</w:t>
      </w:r>
      <w:r>
        <w:rPr>
          <w:rFonts w:hint="eastAsia" w:ascii="仿宋" w:hAnsi="仿宋" w:eastAsia="仿宋" w:cs="仿宋"/>
          <w:sz w:val="28"/>
          <w:szCs w:val="28"/>
        </w:rPr>
        <w:t>免申即享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即申即享</w:t>
      </w:r>
      <w:r>
        <w:rPr>
          <w:rFonts w:hint="eastAsia" w:ascii="仿宋" w:hAnsi="仿宋" w:eastAsia="仿宋" w:cs="仿宋"/>
          <w:sz w:val="28"/>
          <w:szCs w:val="28"/>
        </w:rPr>
        <w:t>”服务，让惠企政策直达企业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3429635"/>
            <wp:effectExtent l="0" t="0" r="6985" b="1460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63" w:after="163"/>
        <w:ind w:left="575" w:leftChars="0" w:hanging="575" w:firstLineChars="0"/>
        <w:rPr>
          <w:rFonts w:hint="eastAsia" w:ascii="仿宋" w:hAnsi="仿宋" w:eastAsia="仿宋" w:cs="仿宋"/>
          <w:kern w:val="0"/>
          <w:sz w:val="28"/>
          <w:szCs w:val="28"/>
          <w:lang w:bidi="ar"/>
        </w:rPr>
      </w:pPr>
      <w:bookmarkStart w:id="6" w:name="_Toc107245753"/>
      <w:r>
        <w:rPr>
          <w:rFonts w:hint="eastAsia" w:ascii="仿宋" w:hAnsi="仿宋" w:eastAsia="仿宋" w:cs="仿宋"/>
          <w:sz w:val="28"/>
          <w:szCs w:val="28"/>
        </w:rPr>
        <w:t>“诉求</w:t>
      </w:r>
      <w:r>
        <w:rPr>
          <w:rFonts w:hint="eastAsia" w:ascii="仿宋" w:hAnsi="仿宋" w:eastAsia="仿宋" w:cs="仿宋"/>
          <w:sz w:val="28"/>
          <w:szCs w:val="28"/>
        </w:rPr>
        <w:t>直达</w:t>
      </w:r>
      <w:r>
        <w:rPr>
          <w:rFonts w:hint="eastAsia" w:ascii="仿宋" w:hAnsi="仿宋" w:eastAsia="仿宋" w:cs="仿宋"/>
          <w:sz w:val="28"/>
          <w:szCs w:val="28"/>
        </w:rPr>
        <w:t>”模块</w:t>
      </w:r>
      <w:bookmarkEnd w:id="6"/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主要为企业提供咨询服务，及时解决企业反映的问题和诉求；点击诉求直达在新窗口打开四送一服页面，进行反馈问题。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1882140"/>
            <wp:effectExtent l="0" t="0" r="0" b="762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63" w:after="163"/>
        <w:ind w:firstLine="48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9"/>
        <w:rPr>
          <w:rFonts w:hint="eastAsia" w:ascii="仿宋" w:hAnsi="仿宋" w:eastAsia="仿宋" w:cs="仿宋"/>
          <w:sz w:val="28"/>
          <w:szCs w:val="28"/>
          <w:lang w:bidi="ar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396230" cy="2809240"/>
            <wp:effectExtent l="0" t="0" r="13970" b="10160"/>
            <wp:docPr id="78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63" w:after="163"/>
        <w:ind w:left="575" w:leftChars="0" w:hanging="575" w:firstLineChars="0"/>
        <w:rPr>
          <w:rFonts w:hint="eastAsia" w:ascii="仿宋" w:hAnsi="仿宋" w:eastAsia="仿宋" w:cs="仿宋"/>
          <w:sz w:val="28"/>
          <w:szCs w:val="28"/>
        </w:rPr>
      </w:pPr>
      <w:bookmarkStart w:id="7" w:name="_Toc107245754"/>
      <w:r>
        <w:rPr>
          <w:rFonts w:hint="eastAsia" w:ascii="仿宋" w:hAnsi="仿宋" w:eastAsia="仿宋" w:cs="仿宋"/>
          <w:sz w:val="28"/>
          <w:szCs w:val="28"/>
        </w:rPr>
        <w:t>“资讯动态”模块</w:t>
      </w:r>
      <w:bookmarkEnd w:id="7"/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主要发布最新政策通知公告和政策解读文件，帮助企业了解最新政策动态和更好理解惠企政策。</w:t>
      </w:r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“通知公告”模块主要发布最新通知公告等。</w:t>
      </w:r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“政策解读”模块主要是对发布的政策解读。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1986915"/>
            <wp:effectExtent l="0" t="0" r="3175" b="952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before="163" w:after="163"/>
        <w:ind w:left="575" w:leftChars="0" w:hanging="575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申报流程</w:t>
      </w:r>
    </w:p>
    <w:p>
      <w:pPr>
        <w:ind w:left="0" w:leftChars="0" w:firstLine="281" w:firstLineChars="1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惠企门户登录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6055" cy="2555875"/>
            <wp:effectExtent l="0" t="0" r="6985" b="44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企业选择法人账号进行登录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2880" cy="2282190"/>
            <wp:effectExtent l="0" t="0" r="10160" b="381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登录成功后进去企业中心进行授权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1610" cy="2581910"/>
            <wp:effectExtent l="0" t="0" r="1143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进行开启授权操作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2145030"/>
            <wp:effectExtent l="0" t="0" r="4445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开启授权后能看到推荐办理的政策服务，也可以点查看更多选择合适的服务进行申报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73675" cy="2656205"/>
            <wp:effectExtent l="0" t="0" r="14605" b="1079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选择想要申报的服务后，点击‘立即申报’进行申报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6055" cy="2754630"/>
            <wp:effectExtent l="0" t="0" r="6985" b="381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可以看到该政策服务的详细信息，点击‘立即申报’进行申报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4785" cy="3433445"/>
            <wp:effectExtent l="0" t="0" r="8255" b="1079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right="-1066" w:rightChars="-444" w:firstLine="48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确认申报须知后，点击“下一步”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9230" cy="3179445"/>
            <wp:effectExtent l="0" t="0" r="381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22"/>
        <w:spacing w:before="163" w:after="163" w:line="500" w:lineRule="exact"/>
        <w:ind w:right="-1066" w:rightChars="-444" w:firstLine="48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填写企业信息，上传对应申报材料后点击“提交”按钮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74310" cy="3729355"/>
            <wp:effectExtent l="0" t="0" r="13970" b="444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70500" cy="2821305"/>
            <wp:effectExtent l="0" t="0" r="2540" b="133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right="-1066" w:rightChars="-444" w:firstLine="48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提交成功后点击“前往企业中心”，查看服务申报进度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73675" cy="3037205"/>
            <wp:effectExtent l="0" t="0" r="14605" b="1079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before="163" w:after="163" w:line="500" w:lineRule="exact"/>
        <w:ind w:right="-1066" w:rightChars="-444" w:firstLine="480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提交成功后，您可以在『企业中心』中查看办件审批进度、审核意见等详细信息。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6690" cy="3347720"/>
            <wp:effectExtent l="0" t="0" r="6350" b="508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before="163" w:after="163"/>
        <w:ind w:firstLine="48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补齐补正</w:t>
      </w:r>
    </w:p>
    <w:p>
      <w:pPr>
        <w:pStyle w:val="20"/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需要上传材料的免申即享政策。如果材料不符合条件，审批部门进行补齐补正操作的，企业可以在“企业中心”-“免申即享”进行补齐补正完善补充材料，补充完成后再次提交即可。</w:t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944495"/>
            <wp:effectExtent l="0" t="0" r="2540" b="12065"/>
            <wp:docPr id="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63" w:after="163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以下为免申即享的服务申请流程</w:t>
      </w:r>
      <w:r>
        <w:rPr>
          <w:rFonts w:hint="eastAsia" w:ascii="仿宋" w:hAnsi="仿宋" w:eastAsia="仿宋" w:cs="仿宋"/>
          <w:sz w:val="28"/>
          <w:szCs w:val="28"/>
        </w:rPr>
        <w:t>，符合此政策的各项申报条件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的企业进行确认操作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4785" cy="3531235"/>
            <wp:effectExtent l="0" t="0" r="825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点击“立即确认”</w:t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3388360"/>
            <wp:effectExtent l="0" t="0" r="254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进行用户授权</w:t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3494405"/>
            <wp:effectExtent l="0" t="0" r="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确认企业信息后点击立即提交，完成办件申请</w:t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3227705"/>
            <wp:effectExtent l="0" t="0" r="4445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2609215"/>
            <wp:effectExtent l="0" t="0" r="635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63" w:after="163"/>
        <w:ind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numPr>
          <w:ilvl w:val="1"/>
          <w:numId w:val="1"/>
        </w:numPr>
        <w:spacing w:before="163" w:after="163"/>
        <w:ind w:left="575" w:leftChars="0" w:hanging="575" w:firstLineChars="0"/>
        <w:rPr>
          <w:rFonts w:hint="eastAsia" w:ascii="仿宋" w:hAnsi="仿宋" w:eastAsia="仿宋" w:cs="仿宋"/>
          <w:sz w:val="28"/>
          <w:szCs w:val="28"/>
        </w:rPr>
      </w:pPr>
      <w:bookmarkStart w:id="8" w:name="_Toc107245756"/>
      <w:r>
        <w:rPr>
          <w:rFonts w:hint="eastAsia" w:ascii="仿宋" w:hAnsi="仿宋" w:eastAsia="仿宋" w:cs="仿宋"/>
          <w:sz w:val="28"/>
          <w:szCs w:val="28"/>
        </w:rPr>
        <w:t>企业中心</w:t>
      </w:r>
      <w:bookmarkEnd w:id="8"/>
    </w:p>
    <w:p>
      <w:pPr>
        <w:spacing w:before="163" w:after="163"/>
        <w:ind w:firstLine="480"/>
        <w:rPr>
          <w:rStyle w:val="23"/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企业中心分为“我的主页”、“财务信息”、“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政策兑现</w:t>
      </w:r>
      <w:r>
        <w:rPr>
          <w:rFonts w:hint="eastAsia" w:ascii="仿宋" w:hAnsi="仿宋" w:eastAsia="仿宋" w:cs="仿宋"/>
          <w:sz w:val="28"/>
          <w:szCs w:val="28"/>
        </w:rPr>
        <w:t>”、“我的收藏”、“我的消息”</w:t>
      </w:r>
    </w:p>
    <w:p>
      <w:pPr>
        <w:pStyle w:val="19"/>
        <w:rPr>
          <w:rFonts w:hint="eastAsia" w:ascii="仿宋" w:hAnsi="仿宋" w:eastAsia="仿宋" w:cs="仿宋"/>
          <w:sz w:val="28"/>
          <w:szCs w:val="28"/>
          <w:lang w:bidi="ar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2816860"/>
            <wp:effectExtent l="0" t="0" r="6985" b="2540"/>
            <wp:docPr id="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163" w:after="163"/>
        <w:ind w:left="720" w:leftChars="0" w:hanging="720" w:firstLineChars="0"/>
        <w:rPr>
          <w:rFonts w:hint="eastAsia" w:ascii="仿宋" w:hAnsi="仿宋" w:eastAsia="仿宋" w:cs="仿宋"/>
          <w:sz w:val="28"/>
          <w:szCs w:val="28"/>
        </w:rPr>
      </w:pPr>
      <w:bookmarkStart w:id="9" w:name="_Toc107245757"/>
      <w:bookmarkStart w:id="10" w:name="_Toc73105174"/>
      <w:r>
        <w:rPr>
          <w:rFonts w:hint="eastAsia" w:ascii="仿宋" w:hAnsi="仿宋" w:eastAsia="仿宋" w:cs="仿宋"/>
          <w:sz w:val="28"/>
          <w:szCs w:val="28"/>
        </w:rPr>
        <w:t>我的主页</w:t>
      </w:r>
      <w:bookmarkEnd w:id="9"/>
      <w:bookmarkEnd w:id="10"/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2966085"/>
            <wp:effectExtent l="0" t="0" r="635" b="5715"/>
            <wp:docPr id="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（1）企业基本信息</w:t>
      </w: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t>默认显示查看状态：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059680" cy="166116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包括企业名称、联系人、联系电话，点击【修改】后进入编辑状态，可编辑联系人、联系电话信息：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044440" cy="1699260"/>
            <wp:effectExtent l="0" t="0" r="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before="163" w:after="163"/>
        <w:ind w:firstLine="0" w:firstLineChars="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点击【保存】后保存修改内容，显示查看状态；</w:t>
      </w: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（2）法人信息授权：</w:t>
      </w:r>
    </w:p>
    <w:p>
      <w:pPr>
        <w:pStyle w:val="19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199640" cy="2399665"/>
            <wp:effectExtent l="0" t="0" r="10160" b="8255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27990" cy="227965"/>
            <wp:effectExtent l="0" t="0" r="13970" b="635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：开关控件；点击开启或关闭获取法人信息授权；在授权提示对话框中也可以开启获取法人信息授权。</w:t>
      </w: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（3）免申即享</w:t>
      </w:r>
    </w:p>
    <w:p>
      <w:pPr>
        <w:pStyle w:val="19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67915"/>
            <wp:effectExtent l="0" t="0" r="13970" b="9525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列表为当前用户符合的，且正处于申报期间，待企业确认的免申即享政策服务，点击【立即确认】在新窗口打开确认申报页面。</w:t>
      </w: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列表为空时，提示暂无数据：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76170"/>
            <wp:effectExtent l="0" t="0" r="13970" b="127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163" w:after="163"/>
        <w:ind w:left="720" w:leftChars="0" w:hanging="720" w:firstLineChars="0"/>
        <w:rPr>
          <w:rFonts w:hint="eastAsia" w:ascii="仿宋" w:hAnsi="仿宋" w:eastAsia="仿宋" w:cs="仿宋"/>
          <w:sz w:val="28"/>
          <w:szCs w:val="28"/>
        </w:rPr>
      </w:pPr>
      <w:bookmarkStart w:id="11" w:name="_Toc73105175"/>
      <w:bookmarkStart w:id="12" w:name="_Toc107245758"/>
      <w:r>
        <w:rPr>
          <w:rFonts w:hint="eastAsia" w:ascii="仿宋" w:hAnsi="仿宋" w:eastAsia="仿宋" w:cs="仿宋"/>
          <w:sz w:val="28"/>
          <w:szCs w:val="28"/>
        </w:rPr>
        <w:t>财务信息</w:t>
      </w:r>
      <w:bookmarkEnd w:id="11"/>
      <w:bookmarkEnd w:id="12"/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4310" cy="2335530"/>
            <wp:effectExtent l="0" t="0" r="13970" b="1143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before="163" w:after="16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包括银行名称、开户名、账号、保存。开户名未灰化状态，不可进行编辑。</w:t>
      </w:r>
    </w:p>
    <w:p>
      <w:pPr>
        <w:pStyle w:val="4"/>
        <w:numPr>
          <w:ilvl w:val="2"/>
          <w:numId w:val="1"/>
        </w:numPr>
        <w:spacing w:before="163" w:after="163"/>
        <w:ind w:left="720" w:leftChars="0" w:hanging="72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我的申报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2045335"/>
            <wp:effectExtent l="0" t="0" r="14605" b="1206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列表数据为当前用户已确认领取的免申即享申请（办件），按确认领取时间（申报时间）倒序排序；点击【查看】，在新窗口打开查看页面。</w:t>
      </w:r>
    </w:p>
    <w:p>
      <w:pPr>
        <w:pStyle w:val="25"/>
        <w:spacing w:before="163" w:after="163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查看页面</w:t>
      </w:r>
    </w:p>
    <w:p>
      <w:pPr>
        <w:spacing w:before="163" w:after="163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6321425"/>
            <wp:effectExtent l="0" t="0" r="13970" b="31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163" w:after="163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企业信息包括企业名称、统一社会信用代码、所属行业、登记机关、注册日期、注册地址、联系人、联系电话</w:t>
      </w:r>
    </w:p>
    <w:p>
      <w:pPr>
        <w:pStyle w:val="24"/>
        <w:spacing w:before="163" w:after="163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政策信息：包括服务名称、申报起止日期、政策依据（依次列出政策文件名称、发文字号、具体条款，至多显示5行，超过5行时在末尾显示“…”）、申报条件、兑现标准。点击【查看详情】，在新窗口打开该政策服务指南页面。</w:t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政策匹配信息：包括综合匹配度、申报条件、匹配明细、匹配结果、补充材料；</w:t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政策兑现测算：包括兑现标准、预计享受政策内容；</w:t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企业确认信息：支持下载《承诺书/申请表》</w:t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部门受理信息：包括受理结果、受理意见、受理单位、受理时间</w:t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部门审核信息：包括审核结果、审核意见、享受政策内容、审核单位、审核时间</w:t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【关闭】：点击关闭当前页面</w:t>
      </w:r>
    </w:p>
    <w:p>
      <w:pPr>
        <w:pStyle w:val="4"/>
        <w:numPr>
          <w:ilvl w:val="2"/>
          <w:numId w:val="1"/>
        </w:numPr>
        <w:spacing w:before="163" w:after="163"/>
        <w:ind w:left="720" w:leftChars="0" w:hanging="720" w:firstLineChars="0"/>
        <w:rPr>
          <w:rFonts w:hint="eastAsia" w:ascii="仿宋" w:hAnsi="仿宋" w:eastAsia="仿宋" w:cs="仿宋"/>
          <w:sz w:val="28"/>
          <w:szCs w:val="28"/>
        </w:rPr>
      </w:pPr>
      <w:bookmarkStart w:id="13" w:name="_Toc73105177"/>
      <w:bookmarkStart w:id="14" w:name="_Toc107245760"/>
      <w:r>
        <w:rPr>
          <w:rFonts w:hint="eastAsia" w:ascii="仿宋" w:hAnsi="仿宋" w:eastAsia="仿宋" w:cs="仿宋"/>
          <w:sz w:val="28"/>
          <w:szCs w:val="28"/>
        </w:rPr>
        <w:t>我的收藏</w:t>
      </w:r>
      <w:bookmarkEnd w:id="13"/>
      <w:bookmarkEnd w:id="14"/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5420" cy="200406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before="163" w:after="163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（1）政策服务</w:t>
      </w:r>
    </w:p>
    <w:p>
      <w:pPr>
        <w:spacing w:before="163" w:after="163"/>
        <w:ind w:leftChars="-59" w:hanging="165" w:hangingChars="5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2405" cy="1892300"/>
            <wp:effectExtent l="0" t="0" r="635" b="12700"/>
            <wp:docPr id="10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列表为当前用户收藏的政策服务，按收藏时间倒序排序；</w:t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点击标题或查看，在新窗口打开该政策服务的服务指南页面；</w:t>
      </w:r>
    </w:p>
    <w:p>
      <w:pPr>
        <w:pStyle w:val="24"/>
        <w:spacing w:before="163" w:after="163"/>
        <w:ind w:left="48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点击【取消收藏】直接将该政策服务移出收藏列表，并更新列表。</w:t>
      </w:r>
    </w:p>
    <w:p>
      <w:pPr>
        <w:pStyle w:val="24"/>
        <w:spacing w:before="163" w:after="163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（2）政策文件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4034155"/>
            <wp:effectExtent l="0" t="0" r="13970" b="4445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列表为当前用户收藏的政策文件，按收藏时间倒序排序；</w:t>
      </w:r>
    </w:p>
    <w:p>
      <w:pPr>
        <w:pStyle w:val="25"/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点击标题或查看，在新窗口打开该政策文件的查看页面；</w:t>
      </w:r>
    </w:p>
    <w:p>
      <w:pPr>
        <w:pStyle w:val="20"/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点击【取消收藏】直接将该政策文件移出收藏列表，并更新列表。</w:t>
      </w:r>
    </w:p>
    <w:p>
      <w:pPr>
        <w:pStyle w:val="20"/>
        <w:spacing w:before="163" w:after="163"/>
        <w:ind w:firstLine="48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5、我的消息</w:t>
      </w:r>
    </w:p>
    <w:p>
      <w:pPr>
        <w:pStyle w:val="20"/>
        <w:spacing w:before="163" w:after="163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对已申报的办件，部门是否进行受理，返回到企业中心，进行提示。</w:t>
      </w:r>
    </w:p>
    <w:p>
      <w:pPr>
        <w:pStyle w:val="1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763520"/>
            <wp:effectExtent l="0" t="0" r="2540" b="1016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FC3921"/>
    <w:multiLevelType w:val="multilevel"/>
    <w:tmpl w:val="D8FC3921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1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FA141D39"/>
    <w:multiLevelType w:val="multilevel"/>
    <w:tmpl w:val="FA141D39"/>
    <w:lvl w:ilvl="0" w:tentative="0">
      <w:start w:val="1"/>
      <w:numFmt w:val="decimal"/>
      <w:pStyle w:val="1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23067890"/>
    <w:multiLevelType w:val="multilevel"/>
    <w:tmpl w:val="23067890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1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54C92F26"/>
    <w:multiLevelType w:val="multilevel"/>
    <w:tmpl w:val="54C92F26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1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>
    <w:nsid w:val="75E8BE8B"/>
    <w:multiLevelType w:val="multilevel"/>
    <w:tmpl w:val="75E8BE8B"/>
    <w:lvl w:ilvl="0" w:tentative="0">
      <w:start w:val="1"/>
      <w:numFmt w:val="decimal"/>
      <w:pStyle w:val="18"/>
      <w:lvlText w:val="%1."/>
      <w:lvlJc w:val="left"/>
      <w:pPr>
        <w:ind w:left="64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93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107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21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36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50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65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793" w:hanging="1583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4NWMyNjJmMjFiNzQ5ZDRhMjFlYWMyYzI2YjMyODgifQ=="/>
  </w:docVars>
  <w:rsids>
    <w:rsidRoot w:val="232D3B24"/>
    <w:rsid w:val="0F3C5F34"/>
    <w:rsid w:val="232D3B24"/>
    <w:rsid w:val="51C15F61"/>
    <w:rsid w:val="644E538B"/>
    <w:rsid w:val="6A1A0D2C"/>
    <w:rsid w:val="740F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2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2"/>
      </w:numPr>
      <w:spacing w:before="260" w:beforeLines="0" w:beforeAutospacing="0" w:after="260" w:afterLines="0" w:afterAutospacing="0" w:line="413" w:lineRule="auto"/>
      <w:ind w:left="93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beforeLines="0" w:beforeAutospacing="0" w:after="290" w:afterLines="0" w:afterAutospacing="0" w:line="372" w:lineRule="auto"/>
      <w:ind w:left="107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ind w:left="121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136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50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65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793" w:hanging="1583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itle"/>
    <w:basedOn w:val="1"/>
    <w:next w:val="1"/>
    <w:qFormat/>
    <w:uiPriority w:val="10"/>
    <w:pPr>
      <w:spacing w:before="240" w:beforeLines="0" w:after="60" w:afterLines="0" w:line="240" w:lineRule="auto"/>
      <w:ind w:firstLine="0" w:firstLineChars="0"/>
      <w:jc w:val="center"/>
    </w:pPr>
    <w:rPr>
      <w:rFonts w:eastAsia="黑体" w:asciiTheme="majorHAnsi" w:hAnsiTheme="majorHAnsi" w:cstheme="majorBidi"/>
      <w:b/>
      <w:bCs/>
      <w:sz w:val="36"/>
      <w:szCs w:val="32"/>
    </w:rPr>
  </w:style>
  <w:style w:type="paragraph" w:customStyle="1" w:styleId="14">
    <w:name w:val="验收1"/>
    <w:basedOn w:val="2"/>
    <w:next w:val="1"/>
    <w:uiPriority w:val="0"/>
    <w:pPr>
      <w:numPr>
        <w:ilvl w:val="0"/>
        <w:numId w:val="3"/>
      </w:numPr>
      <w:spacing w:before="260" w:after="260" w:line="413" w:lineRule="auto"/>
      <w:outlineLvl w:val="0"/>
    </w:pPr>
    <w:rPr>
      <w:rFonts w:asciiTheme="minorAscii" w:hAnsiTheme="minorAscii"/>
      <w:sz w:val="32"/>
    </w:rPr>
  </w:style>
  <w:style w:type="paragraph" w:customStyle="1" w:styleId="15">
    <w:name w:val="验收1.1"/>
    <w:basedOn w:val="3"/>
    <w:next w:val="1"/>
    <w:uiPriority w:val="0"/>
    <w:pPr>
      <w:numPr>
        <w:numId w:val="4"/>
      </w:numPr>
      <w:spacing w:before="260" w:beforeLines="0" w:after="260" w:afterLines="0" w:line="413" w:lineRule="auto"/>
      <w:ind w:left="578"/>
      <w:outlineLvl w:val="1"/>
    </w:pPr>
    <w:rPr>
      <w:rFonts w:eastAsia="仿宋" w:asciiTheme="minorAscii" w:hAnsiTheme="minorAscii" w:cstheme="majorBidi"/>
      <w:bCs/>
      <w:sz w:val="32"/>
      <w:szCs w:val="32"/>
    </w:rPr>
  </w:style>
  <w:style w:type="paragraph" w:customStyle="1" w:styleId="16">
    <w:name w:val="验收1.1.1"/>
    <w:basedOn w:val="4"/>
    <w:next w:val="1"/>
    <w:uiPriority w:val="0"/>
    <w:pPr>
      <w:numPr>
        <w:numId w:val="5"/>
      </w:numPr>
    </w:pPr>
    <w:rPr>
      <w:rFonts w:asciiTheme="minorAscii" w:hAnsiTheme="minorAscii"/>
    </w:rPr>
  </w:style>
  <w:style w:type="paragraph" w:customStyle="1" w:styleId="17">
    <w:name w:val="验收1.1.1.1"/>
    <w:basedOn w:val="5"/>
    <w:next w:val="1"/>
    <w:uiPriority w:val="0"/>
    <w:pPr>
      <w:numPr>
        <w:numId w:val="1"/>
      </w:numPr>
      <w:spacing w:before="260" w:after="260" w:line="413" w:lineRule="auto"/>
      <w:outlineLvl w:val="3"/>
    </w:pPr>
    <w:rPr>
      <w:rFonts w:asciiTheme="minorAscii" w:hAnsiTheme="minorAscii"/>
      <w:sz w:val="32"/>
    </w:rPr>
  </w:style>
  <w:style w:type="paragraph" w:customStyle="1" w:styleId="18">
    <w:name w:val="验1"/>
    <w:basedOn w:val="2"/>
    <w:next w:val="1"/>
    <w:uiPriority w:val="0"/>
    <w:pPr>
      <w:numPr>
        <w:numId w:val="2"/>
      </w:numPr>
      <w:ind w:left="431" w:hanging="431"/>
    </w:pPr>
    <w:rPr>
      <w:rFonts w:hint="eastAsia" w:ascii="仿宋" w:hAnsi="仿宋" w:eastAsia="仿宋" w:cs="仿宋"/>
      <w:sz w:val="28"/>
      <w:szCs w:val="28"/>
    </w:rPr>
  </w:style>
  <w:style w:type="paragraph" w:customStyle="1" w:styleId="19">
    <w:name w:val="_图片样式"/>
    <w:basedOn w:val="1"/>
    <w:qFormat/>
    <w:uiPriority w:val="0"/>
    <w:pPr>
      <w:spacing w:before="163" w:after="163"/>
      <w:ind w:firstLine="0" w:firstLineChars="0"/>
      <w:jc w:val="center"/>
    </w:pPr>
    <w:rPr>
      <w:rFonts w:ascii="宋体" w:hAnsi="宋体" w:cs="宋体"/>
      <w:szCs w:val="24"/>
    </w:rPr>
  </w:style>
  <w:style w:type="paragraph" w:customStyle="1" w:styleId="20">
    <w:name w:val="_正文样式"/>
    <w:basedOn w:val="1"/>
    <w:link w:val="21"/>
    <w:qFormat/>
    <w:uiPriority w:val="0"/>
  </w:style>
  <w:style w:type="character" w:customStyle="1" w:styleId="21">
    <w:name w:val="_正文样式 Char"/>
    <w:basedOn w:val="13"/>
    <w:link w:val="20"/>
    <w:qFormat/>
    <w:uiPriority w:val="0"/>
  </w:style>
  <w:style w:type="paragraph" w:styleId="22">
    <w:name w:val="List Paragraph"/>
    <w:basedOn w:val="1"/>
    <w:qFormat/>
    <w:uiPriority w:val="34"/>
    <w:pPr>
      <w:ind w:firstLine="420"/>
    </w:pPr>
  </w:style>
  <w:style w:type="character" w:customStyle="1" w:styleId="23">
    <w:name w:val="标题 1 Char"/>
    <w:basedOn w:val="13"/>
    <w:link w:val="2"/>
    <w:qFormat/>
    <w:uiPriority w:val="9"/>
    <w:rPr>
      <w:b/>
      <w:kern w:val="44"/>
      <w:sz w:val="44"/>
    </w:rPr>
  </w:style>
  <w:style w:type="paragraph" w:customStyle="1" w:styleId="24">
    <w:name w:val="_正文-样式"/>
    <w:basedOn w:val="1"/>
    <w:qFormat/>
    <w:uiPriority w:val="0"/>
    <w:pPr>
      <w:ind w:firstLine="480"/>
    </w:pPr>
    <w:rPr>
      <w:rFonts w:ascii="仿宋_GB2312" w:hAnsi="仿宋_GB2312" w:eastAsia="仿宋_GB2312"/>
    </w:rPr>
  </w:style>
  <w:style w:type="paragraph" w:customStyle="1" w:styleId="25">
    <w:name w:val="正文样式1"/>
    <w:basedOn w:val="1"/>
    <w:qFormat/>
    <w:uiPriority w:val="0"/>
    <w:pPr>
      <w:ind w:firstLine="560"/>
    </w:pPr>
    <w:rPr>
      <w:rFonts w:ascii="仿宋" w:hAnsi="仿宋" w:eastAsia="仿宋" w:cs="Wingdings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1738</Words>
  <Characters>1738</Characters>
  <Lines>0</Lines>
  <Paragraphs>0</Paragraphs>
  <TotalTime>1</TotalTime>
  <ScaleCrop>false</ScaleCrop>
  <LinksUpToDate>false</LinksUpToDate>
  <CharactersWithSpaces>1761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2022-11-16T13:38:00Z</dcterms:created>
  <dc:creator>冲</dc:creator>
  <cp:lastModifiedBy>冲</cp:lastModifiedBy>
  <dcterms:modified xsi:type="dcterms:W3CDTF">2022-11-16T14:42:56Z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7566A449780044D198E123DDC4280E4F</vt:lpwstr>
  </property>
</Properties>
</file>